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14513" cy="48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4513" cy="48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Annual General Meeting </w:t>
      </w:r>
    </w:p>
    <w:p w:rsidR="00000000" w:rsidDel="00000000" w:rsidP="00000000" w:rsidRDefault="00000000" w:rsidRPr="00000000" w14:paraId="00000003">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March 5, 2025</w:t>
      </w:r>
    </w:p>
    <w:p w:rsidR="00000000" w:rsidDel="00000000" w:rsidP="00000000" w:rsidRDefault="00000000" w:rsidRPr="00000000" w14:paraId="00000004">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5:00 PM | Arts 143</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Call to Order</w:t>
      </w:r>
    </w:p>
    <w:p w:rsidR="00000000" w:rsidDel="00000000" w:rsidP="00000000" w:rsidRDefault="00000000" w:rsidRPr="00000000" w14:paraId="00000008">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9">
      <w:pPr>
        <w:numPr>
          <w:ilvl w:val="0"/>
          <w:numId w:val="28"/>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called the meeting to order at 5:02 PM</w:t>
      </w:r>
    </w:p>
    <w:p w:rsidR="00000000" w:rsidDel="00000000" w:rsidP="00000000" w:rsidRDefault="00000000" w:rsidRPr="00000000" w14:paraId="0000000A">
      <w:pPr>
        <w:ind w:left="72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Call for Quorum</w:t>
      </w:r>
    </w:p>
    <w:p w:rsidR="00000000" w:rsidDel="00000000" w:rsidP="00000000" w:rsidRDefault="00000000" w:rsidRPr="00000000" w14:paraId="0000000C">
      <w:pPr>
        <w:ind w:left="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D">
      <w:pPr>
        <w:numPr>
          <w:ilvl w:val="0"/>
          <w:numId w:val="22"/>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Quorum was present</w:t>
      </w:r>
    </w:p>
    <w:p w:rsidR="00000000" w:rsidDel="00000000" w:rsidP="00000000" w:rsidRDefault="00000000" w:rsidRPr="00000000" w14:paraId="0000000E">
      <w:pPr>
        <w:ind w:left="72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Adoption of Agenda</w:t>
      </w:r>
    </w:p>
    <w:p w:rsidR="00000000" w:rsidDel="00000000" w:rsidP="00000000" w:rsidRDefault="00000000" w:rsidRPr="00000000" w14:paraId="00000010">
      <w:pPr>
        <w:ind w:left="72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1">
      <w:pPr>
        <w:numPr>
          <w:ilvl w:val="0"/>
          <w:numId w:val="26"/>
        </w:numPr>
        <w:ind w:left="144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The agenda was adopted as presented</w:t>
      </w:r>
      <w:r w:rsidDel="00000000" w:rsidR="00000000" w:rsidRPr="00000000">
        <w:rPr>
          <w:rtl w:val="0"/>
        </w:rPr>
      </w:r>
    </w:p>
    <w:p w:rsidR="00000000" w:rsidDel="00000000" w:rsidP="00000000" w:rsidRDefault="00000000" w:rsidRPr="00000000" w14:paraId="00000012">
      <w:pPr>
        <w:numPr>
          <w:ilvl w:val="0"/>
          <w:numId w:val="18"/>
        </w:numPr>
        <w:ind w:left="144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13">
      <w:pPr>
        <w:ind w:left="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Land Acknowledgement</w:t>
      </w:r>
    </w:p>
    <w:p w:rsidR="00000000" w:rsidDel="00000000" w:rsidP="00000000" w:rsidRDefault="00000000" w:rsidRPr="00000000" w14:paraId="00000015">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6">
      <w:pPr>
        <w:numPr>
          <w:ilvl w:val="0"/>
          <w:numId w:val="1"/>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opened the meeting with a land acknowledgement</w:t>
      </w:r>
    </w:p>
    <w:p w:rsidR="00000000" w:rsidDel="00000000" w:rsidP="00000000" w:rsidRDefault="00000000" w:rsidRPr="00000000" w14:paraId="00000017">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Financial Report</w:t>
      </w:r>
    </w:p>
    <w:p w:rsidR="00000000" w:rsidDel="00000000" w:rsidP="00000000" w:rsidRDefault="00000000" w:rsidRPr="00000000" w14:paraId="0000001A">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B">
      <w:pPr>
        <w:numPr>
          <w:ilvl w:val="0"/>
          <w:numId w:val="12"/>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Pillay that $8,897.91 was in the ASSU bank account. With over $6,300 made from events, locker sales, and membership sales, only a small dent has been made in the starting budget—$5,485.53 remaining from an initial $6,970. </w:t>
      </w:r>
    </w:p>
    <w:p w:rsidR="00000000" w:rsidDel="00000000" w:rsidP="00000000" w:rsidRDefault="00000000" w:rsidRPr="00000000" w14:paraId="0000001C">
      <w:pPr>
        <w:numPr>
          <w:ilvl w:val="0"/>
          <w:numId w:val="12"/>
        </w:numPr>
        <w:ind w:left="144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The ASSU is in an extremely healthy financial situation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br w:type="textWrapping"/>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Amendments</w:t>
      </w:r>
    </w:p>
    <w:p w:rsidR="00000000" w:rsidDel="00000000" w:rsidP="00000000" w:rsidRDefault="00000000" w:rsidRPr="00000000" w14:paraId="0000001F">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0">
      <w:pPr>
        <w:numPr>
          <w:ilvl w:val="0"/>
          <w:numId w:val="31"/>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handed chair duties to Logan Weatherald for presentation of the constitutional amendments and Executive Q&amp;A</w:t>
      </w:r>
    </w:p>
    <w:p w:rsidR="00000000" w:rsidDel="00000000" w:rsidP="00000000" w:rsidRDefault="00000000" w:rsidRPr="00000000" w14:paraId="00000021">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22">
      <w:pPr>
        <w:shd w:fill="auto" w:val="clear"/>
        <w:ind w:left="720" w:firstLine="72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6.1. Amendment to Article I — </w:t>
      </w:r>
      <w:hyperlink r:id="rId7">
        <w:r w:rsidDel="00000000" w:rsidR="00000000" w:rsidRPr="00000000">
          <w:rPr>
            <w:rFonts w:ascii="Times New Roman" w:cs="Times New Roman" w:eastAsia="Times New Roman" w:hAnsi="Times New Roman"/>
            <w:b w:val="1"/>
            <w:color w:val="1155cc"/>
            <w:sz w:val="25"/>
            <w:szCs w:val="25"/>
            <w:u w:val="single"/>
            <w:rtl w:val="0"/>
          </w:rPr>
          <w:t xml:space="preserve">Name</w:t>
        </w:r>
      </w:hyperlink>
      <w:r w:rsidDel="00000000" w:rsidR="00000000" w:rsidRPr="00000000">
        <w:rPr>
          <w:rtl w:val="0"/>
        </w:rPr>
      </w:r>
    </w:p>
    <w:p w:rsidR="00000000" w:rsidDel="00000000" w:rsidP="00000000" w:rsidRDefault="00000000" w:rsidRPr="00000000" w14:paraId="00000023">
      <w:pPr>
        <w:shd w:fill="auto" w:val="clear"/>
        <w:ind w:left="720"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4">
      <w:pPr>
        <w:numPr>
          <w:ilvl w:val="0"/>
          <w:numId w:val="20"/>
        </w:numPr>
        <w:shd w:fill="auto" w:val="clear"/>
        <w:ind w:left="288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clarified the purpose of the amendment is the change the grammar in the name of the organisation. There is no substantial change to the name.</w:t>
      </w:r>
    </w:p>
    <w:p w:rsidR="00000000" w:rsidDel="00000000" w:rsidP="00000000" w:rsidRDefault="00000000" w:rsidRPr="00000000" w14:paraId="00000025">
      <w:pPr>
        <w:numPr>
          <w:ilvl w:val="0"/>
          <w:numId w:val="20"/>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26">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7">
      <w:pPr>
        <w:shd w:fill="auto" w:val="clear"/>
        <w:ind w:left="720" w:firstLine="72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6.2. Amendment to Article, Sections A and B — </w:t>
      </w:r>
      <w:hyperlink r:id="rId8">
        <w:r w:rsidDel="00000000" w:rsidR="00000000" w:rsidRPr="00000000">
          <w:rPr>
            <w:rFonts w:ascii="Times New Roman" w:cs="Times New Roman" w:eastAsia="Times New Roman" w:hAnsi="Times New Roman"/>
            <w:b w:val="1"/>
            <w:color w:val="1155cc"/>
            <w:sz w:val="25"/>
            <w:szCs w:val="25"/>
            <w:u w:val="single"/>
            <w:rtl w:val="0"/>
          </w:rPr>
          <w:t xml:space="preserve">Membership Reforms</w:t>
        </w:r>
      </w:hyperlink>
      <w:r w:rsidDel="00000000" w:rsidR="00000000" w:rsidRPr="00000000">
        <w:rPr>
          <w:rtl w:val="0"/>
        </w:rPr>
      </w:r>
    </w:p>
    <w:p w:rsidR="00000000" w:rsidDel="00000000" w:rsidP="00000000" w:rsidRDefault="00000000" w:rsidRPr="00000000" w14:paraId="00000028">
      <w:pPr>
        <w:shd w:fill="auto" w:val="clear"/>
        <w:ind w:left="720"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9">
      <w:pPr>
        <w:numPr>
          <w:ilvl w:val="0"/>
          <w:numId w:val="27"/>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and Vice President Pillay noted that this amendment is necessary to codify the current use of membership cards, and allow for a enforcement mechanism thereto</w:t>
      </w:r>
      <w:r w:rsidDel="00000000" w:rsidR="00000000" w:rsidRPr="00000000">
        <w:rPr>
          <w:rtl w:val="0"/>
        </w:rPr>
      </w:r>
    </w:p>
    <w:p w:rsidR="00000000" w:rsidDel="00000000" w:rsidP="00000000" w:rsidRDefault="00000000" w:rsidRPr="00000000" w14:paraId="0000002A">
      <w:pPr>
        <w:numPr>
          <w:ilvl w:val="0"/>
          <w:numId w:val="17"/>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2B">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C">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6.3. Amendment to Article III, Section C — </w:t>
      </w:r>
      <w:hyperlink r:id="rId9">
        <w:r w:rsidDel="00000000" w:rsidR="00000000" w:rsidRPr="00000000">
          <w:rPr>
            <w:rFonts w:ascii="Times New Roman" w:cs="Times New Roman" w:eastAsia="Times New Roman" w:hAnsi="Times New Roman"/>
            <w:b w:val="1"/>
            <w:color w:val="1155cc"/>
            <w:sz w:val="25"/>
            <w:szCs w:val="25"/>
            <w:u w:val="single"/>
            <w:rtl w:val="0"/>
          </w:rPr>
          <w:t xml:space="preserve">Meetings with the Dean and Dean's Executive and Conflict of Interest Guidelines</w:t>
        </w:r>
      </w:hyperlink>
      <w:r w:rsidDel="00000000" w:rsidR="00000000" w:rsidRPr="00000000">
        <w:rPr>
          <w:rtl w:val="0"/>
        </w:rPr>
      </w:r>
    </w:p>
    <w:p w:rsidR="00000000" w:rsidDel="00000000" w:rsidP="00000000" w:rsidRDefault="00000000" w:rsidRPr="00000000" w14:paraId="0000002D">
      <w:pPr>
        <w:shd w:fill="auto" w:val="clear"/>
        <w:ind w:left="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E">
      <w:pPr>
        <w:numPr>
          <w:ilvl w:val="0"/>
          <w:numId w:val="21"/>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Soifer stated that this amendment formalises meetings between the Dean of the College and the ASSU executives</w:t>
      </w:r>
    </w:p>
    <w:p w:rsidR="00000000" w:rsidDel="00000000" w:rsidP="00000000" w:rsidRDefault="00000000" w:rsidRPr="00000000" w14:paraId="0000002F">
      <w:pPr>
        <w:numPr>
          <w:ilvl w:val="0"/>
          <w:numId w:val="21"/>
        </w:numPr>
        <w:shd w:fill="auto" w:val="clear"/>
        <w:ind w:left="288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noted that this amendment also requires that executives follow University conflict of interest guidelines</w:t>
      </w:r>
      <w:r w:rsidDel="00000000" w:rsidR="00000000" w:rsidRPr="00000000">
        <w:rPr>
          <w:rtl w:val="0"/>
        </w:rPr>
      </w:r>
    </w:p>
    <w:p w:rsidR="00000000" w:rsidDel="00000000" w:rsidP="00000000" w:rsidRDefault="00000000" w:rsidRPr="00000000" w14:paraId="00000030">
      <w:pPr>
        <w:numPr>
          <w:ilvl w:val="0"/>
          <w:numId w:val="25"/>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31">
      <w:pPr>
        <w:shd w:fill="auto" w:val="clear"/>
        <w:ind w:left="288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32">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6.4. Amendment to Article IV, Sections A, B, C, and E — </w:t>
      </w:r>
      <w:hyperlink r:id="rId10">
        <w:r w:rsidDel="00000000" w:rsidR="00000000" w:rsidRPr="00000000">
          <w:rPr>
            <w:rFonts w:ascii="Times New Roman" w:cs="Times New Roman" w:eastAsia="Times New Roman" w:hAnsi="Times New Roman"/>
            <w:b w:val="1"/>
            <w:color w:val="1155cc"/>
            <w:sz w:val="25"/>
            <w:szCs w:val="25"/>
            <w:u w:val="single"/>
            <w:rtl w:val="0"/>
          </w:rPr>
          <w:t xml:space="preserve">Updating Executive Portfolios</w:t>
        </w:r>
      </w:hyperlink>
      <w:r w:rsidDel="00000000" w:rsidR="00000000" w:rsidRPr="00000000">
        <w:rPr>
          <w:rtl w:val="0"/>
        </w:rPr>
      </w:r>
    </w:p>
    <w:p w:rsidR="00000000" w:rsidDel="00000000" w:rsidP="00000000" w:rsidRDefault="00000000" w:rsidRPr="00000000" w14:paraId="00000033">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4">
      <w:pPr>
        <w:numPr>
          <w:ilvl w:val="0"/>
          <w:numId w:val="8"/>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Illingworth stated that this amendment updates executive portfolios to reflect current practices.</w:t>
      </w:r>
      <w:r w:rsidDel="00000000" w:rsidR="00000000" w:rsidRPr="00000000">
        <w:rPr>
          <w:rtl w:val="0"/>
        </w:rPr>
      </w:r>
    </w:p>
    <w:p w:rsidR="00000000" w:rsidDel="00000000" w:rsidP="00000000" w:rsidRDefault="00000000" w:rsidRPr="00000000" w14:paraId="00000035">
      <w:pPr>
        <w:numPr>
          <w:ilvl w:val="0"/>
          <w:numId w:val="11"/>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36">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7">
      <w:pPr>
        <w:shd w:fill="auto" w:val="clear"/>
        <w:ind w:left="720" w:firstLine="72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6.5. Amendment to Article V,  Sections A and B — </w:t>
      </w:r>
      <w:hyperlink r:id="rId11">
        <w:r w:rsidDel="00000000" w:rsidR="00000000" w:rsidRPr="00000000">
          <w:rPr>
            <w:rFonts w:ascii="Times New Roman" w:cs="Times New Roman" w:eastAsia="Times New Roman" w:hAnsi="Times New Roman"/>
            <w:b w:val="1"/>
            <w:color w:val="1155cc"/>
            <w:sz w:val="25"/>
            <w:szCs w:val="25"/>
            <w:u w:val="single"/>
            <w:rtl w:val="0"/>
          </w:rPr>
          <w:t xml:space="preserve">Congruity Changes</w:t>
        </w:r>
      </w:hyperlink>
      <w:r w:rsidDel="00000000" w:rsidR="00000000" w:rsidRPr="00000000">
        <w:rPr>
          <w:rtl w:val="0"/>
        </w:rPr>
      </w:r>
    </w:p>
    <w:p w:rsidR="00000000" w:rsidDel="00000000" w:rsidP="00000000" w:rsidRDefault="00000000" w:rsidRPr="00000000" w14:paraId="00000038">
      <w:pPr>
        <w:shd w:fill="auto" w:val="clear"/>
        <w:ind w:left="720"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9">
      <w:pPr>
        <w:numPr>
          <w:ilvl w:val="0"/>
          <w:numId w:val="16"/>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Mann noted that this amendment makes minor updates to articles comply with prior amendments</w:t>
      </w:r>
    </w:p>
    <w:p w:rsidR="00000000" w:rsidDel="00000000" w:rsidP="00000000" w:rsidRDefault="00000000" w:rsidRPr="00000000" w14:paraId="0000003A">
      <w:pPr>
        <w:numPr>
          <w:ilvl w:val="0"/>
          <w:numId w:val="16"/>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3B">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C">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6.6. Amendment to Article V, Section G — </w:t>
      </w:r>
      <w:hyperlink r:id="rId12">
        <w:r w:rsidDel="00000000" w:rsidR="00000000" w:rsidRPr="00000000">
          <w:rPr>
            <w:rFonts w:ascii="Times New Roman" w:cs="Times New Roman" w:eastAsia="Times New Roman" w:hAnsi="Times New Roman"/>
            <w:b w:val="1"/>
            <w:color w:val="1155cc"/>
            <w:sz w:val="25"/>
            <w:szCs w:val="25"/>
            <w:u w:val="single"/>
            <w:rtl w:val="0"/>
          </w:rPr>
          <w:t xml:space="preserve">Reforming the Elections Committee</w:t>
        </w:r>
      </w:hyperlink>
      <w:r w:rsidDel="00000000" w:rsidR="00000000" w:rsidRPr="00000000">
        <w:rPr>
          <w:rtl w:val="0"/>
        </w:rPr>
      </w:r>
    </w:p>
    <w:p w:rsidR="00000000" w:rsidDel="00000000" w:rsidP="00000000" w:rsidRDefault="00000000" w:rsidRPr="00000000" w14:paraId="0000003D">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E">
      <w:pPr>
        <w:numPr>
          <w:ilvl w:val="0"/>
          <w:numId w:val="5"/>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MSC Bytyqi asked why the amendment was proposed.</w:t>
        <w:tab/>
      </w:r>
      <w:r w:rsidDel="00000000" w:rsidR="00000000" w:rsidRPr="00000000">
        <w:rPr>
          <w:rtl w:val="0"/>
        </w:rPr>
      </w:r>
    </w:p>
    <w:p w:rsidR="00000000" w:rsidDel="00000000" w:rsidP="00000000" w:rsidRDefault="00000000" w:rsidRPr="00000000" w14:paraId="0000003F">
      <w:pPr>
        <w:numPr>
          <w:ilvl w:val="0"/>
          <w:numId w:val="13"/>
        </w:numPr>
        <w:shd w:fill="auto" w:val="clear"/>
        <w:ind w:left="360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stated that this amendment provides for a mechanism for election result announcements, removes the President from the elections committee, and allows the committee to be more democratic and collaborative. Furthermore, President Deis noted that the amendment is in response to a complaint made by a USSU staff member and a university staff member on behalf of a candidate during the last ASSU election cycle, during the resolution of which the ASSU voluntarily proposed an amendment of this nature.</w:t>
      </w:r>
      <w:r w:rsidDel="00000000" w:rsidR="00000000" w:rsidRPr="00000000">
        <w:rPr>
          <w:rtl w:val="0"/>
        </w:rPr>
      </w:r>
    </w:p>
    <w:p w:rsidR="00000000" w:rsidDel="00000000" w:rsidP="00000000" w:rsidRDefault="00000000" w:rsidRPr="00000000" w14:paraId="00000040">
      <w:pPr>
        <w:numPr>
          <w:ilvl w:val="0"/>
          <w:numId w:val="29"/>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41">
      <w:pPr>
        <w:shd w:fill="auto" w:val="clea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2">
      <w:pPr>
        <w:shd w:fill="auto" w:val="clear"/>
        <w:ind w:left="720" w:firstLine="72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6.7. Amendment to Article V — </w:t>
      </w:r>
      <w:hyperlink r:id="rId13">
        <w:r w:rsidDel="00000000" w:rsidR="00000000" w:rsidRPr="00000000">
          <w:rPr>
            <w:rFonts w:ascii="Times New Roman" w:cs="Times New Roman" w:eastAsia="Times New Roman" w:hAnsi="Times New Roman"/>
            <w:b w:val="1"/>
            <w:color w:val="1155cc"/>
            <w:sz w:val="25"/>
            <w:szCs w:val="25"/>
            <w:u w:val="single"/>
            <w:rtl w:val="0"/>
          </w:rPr>
          <w:t xml:space="preserve">Adding Committees</w:t>
        </w:r>
      </w:hyperlink>
      <w:r w:rsidDel="00000000" w:rsidR="00000000" w:rsidRPr="00000000">
        <w:rPr>
          <w:rtl w:val="0"/>
        </w:rPr>
      </w:r>
    </w:p>
    <w:p w:rsidR="00000000" w:rsidDel="00000000" w:rsidP="00000000" w:rsidRDefault="00000000" w:rsidRPr="00000000" w14:paraId="00000043">
      <w:pPr>
        <w:shd w:fill="auto" w:val="clear"/>
        <w:ind w:left="720"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4">
      <w:pPr>
        <w:numPr>
          <w:ilvl w:val="0"/>
          <w:numId w:val="14"/>
        </w:numPr>
        <w:shd w:fill="auto" w:val="clear"/>
        <w:ind w:left="288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Soifer clarified that this amendment formalises the currently </w:t>
      </w:r>
      <w:r w:rsidDel="00000000" w:rsidR="00000000" w:rsidRPr="00000000">
        <w:rPr>
          <w:rFonts w:ascii="Times New Roman" w:cs="Times New Roman" w:eastAsia="Times New Roman" w:hAnsi="Times New Roman"/>
          <w:i w:val="1"/>
          <w:sz w:val="25"/>
          <w:szCs w:val="25"/>
          <w:rtl w:val="0"/>
        </w:rPr>
        <w:t xml:space="preserve">ad hoc </w:t>
      </w:r>
      <w:r w:rsidDel="00000000" w:rsidR="00000000" w:rsidRPr="00000000">
        <w:rPr>
          <w:rFonts w:ascii="Times New Roman" w:cs="Times New Roman" w:eastAsia="Times New Roman" w:hAnsi="Times New Roman"/>
          <w:sz w:val="25"/>
          <w:szCs w:val="25"/>
          <w:rtl w:val="0"/>
        </w:rPr>
        <w:t xml:space="preserve">Student Group Collaboration Committee chaired by the VP External Affairs and the Sponsorship and Benefits Committee chaired by the President</w:t>
      </w:r>
      <w:r w:rsidDel="00000000" w:rsidR="00000000" w:rsidRPr="00000000">
        <w:rPr>
          <w:rtl w:val="0"/>
        </w:rPr>
      </w:r>
    </w:p>
    <w:p w:rsidR="00000000" w:rsidDel="00000000" w:rsidP="00000000" w:rsidRDefault="00000000" w:rsidRPr="00000000" w14:paraId="00000045">
      <w:pPr>
        <w:numPr>
          <w:ilvl w:val="0"/>
          <w:numId w:val="4"/>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46">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7">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6.8. Amendment to Article VI, Sections B and C — </w:t>
      </w:r>
      <w:hyperlink r:id="rId14">
        <w:r w:rsidDel="00000000" w:rsidR="00000000" w:rsidRPr="00000000">
          <w:rPr>
            <w:rFonts w:ascii="Times New Roman" w:cs="Times New Roman" w:eastAsia="Times New Roman" w:hAnsi="Times New Roman"/>
            <w:b w:val="1"/>
            <w:color w:val="1155cc"/>
            <w:sz w:val="25"/>
            <w:szCs w:val="25"/>
            <w:u w:val="single"/>
            <w:rtl w:val="0"/>
          </w:rPr>
          <w:t xml:space="preserve">Defining AGM and Emergency Meetings</w:t>
        </w:r>
      </w:hyperlink>
      <w:r w:rsidDel="00000000" w:rsidR="00000000" w:rsidRPr="00000000">
        <w:rPr>
          <w:rtl w:val="0"/>
        </w:rPr>
      </w:r>
    </w:p>
    <w:p w:rsidR="00000000" w:rsidDel="00000000" w:rsidP="00000000" w:rsidRDefault="00000000" w:rsidRPr="00000000" w14:paraId="00000048">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9">
      <w:pPr>
        <w:numPr>
          <w:ilvl w:val="0"/>
          <w:numId w:val="30"/>
        </w:numPr>
        <w:shd w:fill="auto" w:val="clear"/>
        <w:ind w:left="288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stated that this amendment rectifies an oversight in the previous version of the constitution by defining what AGMs and Emergency Meetings are, when they are to be used, and how they are conducted.</w:t>
      </w:r>
      <w:r w:rsidDel="00000000" w:rsidR="00000000" w:rsidRPr="00000000">
        <w:rPr>
          <w:rtl w:val="0"/>
        </w:rPr>
      </w:r>
    </w:p>
    <w:p w:rsidR="00000000" w:rsidDel="00000000" w:rsidP="00000000" w:rsidRDefault="00000000" w:rsidRPr="00000000" w14:paraId="0000004A">
      <w:pPr>
        <w:numPr>
          <w:ilvl w:val="0"/>
          <w:numId w:val="3"/>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4B">
      <w:pPr>
        <w:shd w:fill="auto" w:val="clear"/>
        <w:ind w:firstLine="72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C">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6.9. Amendment to Article VII, Section A — </w:t>
      </w:r>
      <w:hyperlink r:id="rId15">
        <w:r w:rsidDel="00000000" w:rsidR="00000000" w:rsidRPr="00000000">
          <w:rPr>
            <w:rFonts w:ascii="Times New Roman" w:cs="Times New Roman" w:eastAsia="Times New Roman" w:hAnsi="Times New Roman"/>
            <w:b w:val="1"/>
            <w:color w:val="1155cc"/>
            <w:sz w:val="25"/>
            <w:szCs w:val="25"/>
            <w:u w:val="single"/>
            <w:rtl w:val="0"/>
          </w:rPr>
          <w:t xml:space="preserve">Change to Election Schedule and Election of MSCs</w:t>
        </w:r>
      </w:hyperlink>
      <w:r w:rsidDel="00000000" w:rsidR="00000000" w:rsidRPr="00000000">
        <w:rPr>
          <w:rtl w:val="0"/>
        </w:rPr>
      </w:r>
    </w:p>
    <w:p w:rsidR="00000000" w:rsidDel="00000000" w:rsidP="00000000" w:rsidRDefault="00000000" w:rsidRPr="00000000" w14:paraId="0000004D">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4E">
      <w:pPr>
        <w:numPr>
          <w:ilvl w:val="0"/>
          <w:numId w:val="10"/>
        </w:numPr>
        <w:shd w:fill="auto" w:val="clear"/>
        <w:ind w:left="288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stated that this amendment updates the election schedule to allow for greater flexibility and deviance from the USSU elections, as well as including a provision that clarifies that the ASSU runs the elections for the Members of Student Council from Arts and Science.</w:t>
      </w:r>
      <w:r w:rsidDel="00000000" w:rsidR="00000000" w:rsidRPr="00000000">
        <w:rPr>
          <w:rtl w:val="0"/>
        </w:rPr>
      </w:r>
    </w:p>
    <w:p w:rsidR="00000000" w:rsidDel="00000000" w:rsidP="00000000" w:rsidRDefault="00000000" w:rsidRPr="00000000" w14:paraId="0000004F">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0">
      <w:pPr>
        <w:numPr>
          <w:ilvl w:val="0"/>
          <w:numId w:val="23"/>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 </w:t>
      </w:r>
    </w:p>
    <w:p w:rsidR="00000000" w:rsidDel="00000000" w:rsidP="00000000" w:rsidRDefault="00000000" w:rsidRPr="00000000" w14:paraId="00000051">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2">
      <w:pPr>
        <w:shd w:fill="auto" w:val="clear"/>
        <w:ind w:left="1440"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6.10. </w:t>
      </w:r>
      <w:hyperlink r:id="rId16">
        <w:r w:rsidDel="00000000" w:rsidR="00000000" w:rsidRPr="00000000">
          <w:rPr>
            <w:rFonts w:ascii="Times New Roman" w:cs="Times New Roman" w:eastAsia="Times New Roman" w:hAnsi="Times New Roman"/>
            <w:b w:val="1"/>
            <w:color w:val="1155cc"/>
            <w:sz w:val="25"/>
            <w:szCs w:val="25"/>
            <w:u w:val="single"/>
            <w:rtl w:val="0"/>
          </w:rPr>
          <w:t xml:space="preserve">Creation of ASSU Bylaws Section</w:t>
        </w:r>
      </w:hyperlink>
      <w:r w:rsidDel="00000000" w:rsidR="00000000" w:rsidRPr="00000000">
        <w:rPr>
          <w:rtl w:val="0"/>
        </w:rPr>
      </w:r>
    </w:p>
    <w:p w:rsidR="00000000" w:rsidDel="00000000" w:rsidP="00000000" w:rsidRDefault="00000000" w:rsidRPr="00000000" w14:paraId="00000053">
      <w:pPr>
        <w:shd w:fill="auto" w:val="clea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4">
      <w:pPr>
        <w:numPr>
          <w:ilvl w:val="0"/>
          <w:numId w:val="15"/>
        </w:numPr>
        <w:shd w:fill="auto" w:val="clear"/>
        <w:ind w:left="288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Vice President Pillay stated that this amendment was created to provide a formal space for important ASSU documents.</w:t>
      </w:r>
      <w:r w:rsidDel="00000000" w:rsidR="00000000" w:rsidRPr="00000000">
        <w:rPr>
          <w:rtl w:val="0"/>
        </w:rPr>
      </w:r>
    </w:p>
    <w:p w:rsidR="00000000" w:rsidDel="00000000" w:rsidP="00000000" w:rsidRDefault="00000000" w:rsidRPr="00000000" w14:paraId="00000055">
      <w:pPr>
        <w:numPr>
          <w:ilvl w:val="0"/>
          <w:numId w:val="24"/>
        </w:numPr>
        <w:shd w:fill="auto" w:val="clear"/>
        <w:ind w:left="2880" w:hanging="360"/>
        <w:rPr>
          <w:rFonts w:ascii="Times New Roman" w:cs="Times New Roman" w:eastAsia="Times New Roman" w:hAnsi="Times New Roman"/>
          <w:sz w:val="25"/>
          <w:szCs w:val="25"/>
          <w:highlight w:val="yellow"/>
        </w:rPr>
      </w:pPr>
      <w:r w:rsidDel="00000000" w:rsidR="00000000" w:rsidRPr="00000000">
        <w:rPr>
          <w:rFonts w:ascii="Times New Roman" w:cs="Times New Roman" w:eastAsia="Times New Roman" w:hAnsi="Times New Roman"/>
          <w:sz w:val="25"/>
          <w:szCs w:val="25"/>
          <w:highlight w:val="yellow"/>
          <w:rtl w:val="0"/>
        </w:rPr>
        <w:t xml:space="preserve">M/S/Carried</w:t>
      </w:r>
    </w:p>
    <w:p w:rsidR="00000000" w:rsidDel="00000000" w:rsidP="00000000" w:rsidRDefault="00000000" w:rsidRPr="00000000" w14:paraId="00000056">
      <w:pPr>
        <w:ind w:left="144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Questions and Comments for the Executive Committee</w:t>
      </w:r>
    </w:p>
    <w:p w:rsidR="00000000" w:rsidDel="00000000" w:rsidP="00000000" w:rsidRDefault="00000000" w:rsidRPr="00000000" w14:paraId="00000058">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9">
      <w:pPr>
        <w:numPr>
          <w:ilvl w:val="0"/>
          <w:numId w:val="9"/>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Member Walker when the ASSU elections would be held, given the amendment regarding the schedule. </w:t>
      </w:r>
    </w:p>
    <w:p w:rsidR="00000000" w:rsidDel="00000000" w:rsidP="00000000" w:rsidRDefault="00000000" w:rsidRPr="00000000" w14:paraId="0000005A">
      <w:pPr>
        <w:numPr>
          <w:ilvl w:val="1"/>
          <w:numId w:val="9"/>
        </w:numPr>
        <w:ind w:left="216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stated that the election would be conducted shortly, with candidate nomination forms to be sent out within the next few days.</w:t>
      </w:r>
    </w:p>
    <w:p w:rsidR="00000000" w:rsidDel="00000000" w:rsidP="00000000" w:rsidRDefault="00000000" w:rsidRPr="00000000" w14:paraId="0000005B">
      <w:pPr>
        <w:numPr>
          <w:ilvl w:val="1"/>
          <w:numId w:val="9"/>
        </w:numPr>
        <w:ind w:left="216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Vice President Pillay said that nomination forms would be emailed to all members following their approval by the Executive Committee</w:t>
      </w:r>
    </w:p>
    <w:p w:rsidR="00000000" w:rsidDel="00000000" w:rsidP="00000000" w:rsidRDefault="00000000" w:rsidRPr="00000000" w14:paraId="0000005C">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5D">
      <w:pPr>
        <w:numPr>
          <w:ilvl w:val="0"/>
          <w:numId w:val="7"/>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No other questions or comments were presented to the Executives</w:t>
      </w:r>
    </w:p>
    <w:p w:rsidR="00000000" w:rsidDel="00000000" w:rsidP="00000000" w:rsidRDefault="00000000" w:rsidRPr="00000000" w14:paraId="0000005E">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5F">
      <w:pPr>
        <w:ind w:left="72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60">
      <w:pPr>
        <w:numPr>
          <w:ilvl w:val="0"/>
          <w:numId w:val="2"/>
        </w:numPr>
        <w:ind w:left="720" w:hanging="360"/>
        <w:rPr>
          <w:rFonts w:ascii="Times New Roman" w:cs="Times New Roman" w:eastAsia="Times New Roman" w:hAnsi="Times New Roman"/>
          <w:b w:val="1"/>
          <w:sz w:val="25"/>
          <w:szCs w:val="25"/>
          <w:u w:val="none"/>
        </w:rPr>
      </w:pPr>
      <w:r w:rsidDel="00000000" w:rsidR="00000000" w:rsidRPr="00000000">
        <w:rPr>
          <w:rFonts w:ascii="Times New Roman" w:cs="Times New Roman" w:eastAsia="Times New Roman" w:hAnsi="Times New Roman"/>
          <w:b w:val="1"/>
          <w:sz w:val="25"/>
          <w:szCs w:val="25"/>
          <w:rtl w:val="0"/>
        </w:rPr>
        <w:t xml:space="preserve">Other Business</w:t>
      </w:r>
    </w:p>
    <w:p w:rsidR="00000000" w:rsidDel="00000000" w:rsidP="00000000" w:rsidRDefault="00000000" w:rsidRPr="00000000" w14:paraId="00000061">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62">
      <w:pPr>
        <w:numPr>
          <w:ilvl w:val="0"/>
          <w:numId w:val="6"/>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Member Weatherald returned chair duties to President Deis</w:t>
      </w:r>
    </w:p>
    <w:p w:rsidR="00000000" w:rsidDel="00000000" w:rsidP="00000000" w:rsidRDefault="00000000" w:rsidRPr="00000000" w14:paraId="00000063">
      <w:pPr>
        <w:numPr>
          <w:ilvl w:val="0"/>
          <w:numId w:val="6"/>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No other business was presented</w:t>
      </w: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65">
      <w:pPr>
        <w:numPr>
          <w:ilvl w:val="0"/>
          <w:numId w:val="2"/>
        </w:numPr>
        <w:ind w:left="720" w:hanging="360"/>
        <w:rPr>
          <w:rFonts w:ascii="Times New Roman" w:cs="Times New Roman" w:eastAsia="Times New Roman" w:hAnsi="Times New Roman"/>
          <w:b w:val="1"/>
          <w:sz w:val="25"/>
          <w:szCs w:val="25"/>
          <w:u w:val="none"/>
        </w:rPr>
      </w:pPr>
      <w:r w:rsidDel="00000000" w:rsidR="00000000" w:rsidRPr="00000000">
        <w:rPr>
          <w:rFonts w:ascii="Times New Roman" w:cs="Times New Roman" w:eastAsia="Times New Roman" w:hAnsi="Times New Roman"/>
          <w:b w:val="1"/>
          <w:sz w:val="25"/>
          <w:szCs w:val="25"/>
          <w:rtl w:val="0"/>
        </w:rPr>
        <w:t xml:space="preserve">Adjournment</w:t>
      </w:r>
    </w:p>
    <w:p w:rsidR="00000000" w:rsidDel="00000000" w:rsidP="00000000" w:rsidRDefault="00000000" w:rsidRPr="00000000" w14:paraId="00000066">
      <w:pPr>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67">
      <w:pPr>
        <w:numPr>
          <w:ilvl w:val="0"/>
          <w:numId w:val="19"/>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adjourned the meeting at 6:35 PM</w:t>
      </w:r>
    </w:p>
    <w:p w:rsidR="00000000" w:rsidDel="00000000" w:rsidP="00000000" w:rsidRDefault="00000000" w:rsidRPr="00000000" w14:paraId="00000068">
      <w:pPr>
        <w:ind w:left="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5"/>
          <w:szCs w:val="25"/>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pict>
        <v:shape id="WordPictureWatermark1" style="position:absolute;width:434.625pt;height:434.625pt;rotation:0;z-index:-503316481;mso-position-horizontal-relative:margin;mso-position-horizontal:center;mso-position-vertical-relative:margin;mso-position-vertical:center;"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gm9V44NXfdltVSzEhYTTZpX_-6orS4dN5jIQH7rodrs/edit?usp=sharing" TargetMode="External"/><Relationship Id="rId10" Type="http://schemas.openxmlformats.org/officeDocument/2006/relationships/hyperlink" Target="https://docs.google.com/document/d/16-MskBjr80yHmDIsxTTquVK-iM2_PdJsU13pcIob_Mo/edit?usp=sharing" TargetMode="External"/><Relationship Id="rId13" Type="http://schemas.openxmlformats.org/officeDocument/2006/relationships/hyperlink" Target="https://docs.google.com/document/d/14wddCGsWahb-OT_0jRV4kGgcobts3fkf6FGJfcQv6IE/edit?usp=sharing" TargetMode="External"/><Relationship Id="rId12" Type="http://schemas.openxmlformats.org/officeDocument/2006/relationships/hyperlink" Target="https://docs.google.com/document/d/1iiffUFjBu2x3dI75zKD-aMTGCTitGwjw-3i7QWgYhg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Ja4sTThwDNx2cC4hCa_1OcfrupwBGXN6WIdCOz1jQpg/edit?usp=sharing" TargetMode="External"/><Relationship Id="rId15" Type="http://schemas.openxmlformats.org/officeDocument/2006/relationships/hyperlink" Target="https://docs.google.com/document/d/1ST-Yn_s60OEFSjO8dPXa-c3tOk0TvHyCu7l15LS-dFo/edit?usp=sharing" TargetMode="External"/><Relationship Id="rId14" Type="http://schemas.openxmlformats.org/officeDocument/2006/relationships/hyperlink" Target="https://docs.google.com/document/d/14EHukgzr-nk0jOnHx5sy_zcLyfN38ww1gFfHEta1cC8/edit?usp=sharing" TargetMode="External"/><Relationship Id="rId17" Type="http://schemas.openxmlformats.org/officeDocument/2006/relationships/header" Target="header1.xml"/><Relationship Id="rId16" Type="http://schemas.openxmlformats.org/officeDocument/2006/relationships/hyperlink" Target="https://docs.google.com/document/d/1xvgqdE5FKr96VW9V0i1HZPhjZYpV5ztOnfzd3Wu-VPc/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QFASQEzx7t3czDQR-tB4ec-Np-ghZ7XSD6PzbMnkZTo/edit?usp=sharing" TargetMode="External"/><Relationship Id="rId8" Type="http://schemas.openxmlformats.org/officeDocument/2006/relationships/hyperlink" Target="https://docs.google.com/document/d/1rTBxLoKulz9rMUWtEJqBl-qlwciWlEX-UVzINkIvK-I/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